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D9BA" w14:textId="77777777" w:rsidR="00200D0A" w:rsidRDefault="00200D0A" w:rsidP="00200D0A">
      <w:pPr>
        <w:spacing w:after="120" w:line="240" w:lineRule="auto"/>
      </w:pPr>
    </w:p>
    <w:p w14:paraId="086F7459" w14:textId="77777777" w:rsidR="00877F3D" w:rsidRDefault="001A5458" w:rsidP="00877F3D">
      <w:pPr>
        <w:spacing w:after="240" w:line="240" w:lineRule="auto"/>
      </w:pPr>
      <w:r>
        <w:t xml:space="preserve">The American Industrial Hygiene Association (AIHA) expresses strong support for the restoration of key programs and functions within the Department of Health and Human Services (HHS), particularly those previously housed in the National Institute for Occupational Safety and Health (NIOSH). AIHA is the association for </w:t>
      </w:r>
      <w:r w:rsidR="00996D02">
        <w:t>occupational and environmental health and safety (</w:t>
      </w:r>
      <w:r>
        <w:t>OEHS</w:t>
      </w:r>
      <w:r w:rsidR="00996D02">
        <w:t>)</w:t>
      </w:r>
      <w:r>
        <w:t xml:space="preserve"> professionals committed to ensuring occupational and environmental health and safety in the workplace and community. Founded in 1939, we support our nearly 8,500 members with our expertise, networks, education programs, and other services that help them maintain the highest professional and competency standards. As HHS undergoes restructuring under President Trump and Secretary Robert F. Kennedy Jr., we support efforts to improve efficiency, </w:t>
      </w:r>
      <w:r w:rsidR="009001FE">
        <w:t>provided</w:t>
      </w:r>
      <w:r>
        <w:t xml:space="preserve"> they continue to reflect congressional intent and preserve essential services that protect the health and safety of the American workforce. </w:t>
      </w:r>
    </w:p>
    <w:p w14:paraId="20858597" w14:textId="4FF795C9" w:rsidR="00685814" w:rsidRPr="00E300B6" w:rsidRDefault="00786C4C" w:rsidP="00877F3D">
      <w:pPr>
        <w:spacing w:after="240" w:line="240" w:lineRule="auto"/>
      </w:pPr>
      <w:r w:rsidRPr="00786C4C">
        <w:t>T</w:t>
      </w:r>
      <w:r w:rsidR="00BC4875" w:rsidRPr="00786C4C">
        <w:t xml:space="preserve">he FY26 federal budget </w:t>
      </w:r>
      <w:r w:rsidR="00F31D16">
        <w:t>proposed by HHS</w:t>
      </w:r>
      <w:r w:rsidRPr="00786C4C">
        <w:t xml:space="preserve"> and the President </w:t>
      </w:r>
      <w:r w:rsidR="00E300B6">
        <w:t>reflects $73m in</w:t>
      </w:r>
      <w:r w:rsidR="00F22C77">
        <w:t xml:space="preserve"> NIOSH </w:t>
      </w:r>
      <w:r w:rsidR="00E300B6">
        <w:t xml:space="preserve">funding for the </w:t>
      </w:r>
      <w:r w:rsidR="00AC1BDB" w:rsidRPr="00D0026A">
        <w:rPr>
          <w:b/>
          <w:bCs/>
        </w:rPr>
        <w:t>National Mesothelioma Registry and Tissue Bank</w:t>
      </w:r>
      <w:r w:rsidR="00AC1BDB">
        <w:t xml:space="preserve">, </w:t>
      </w:r>
      <w:r w:rsidR="00AC1BDB" w:rsidRPr="00D0026A">
        <w:rPr>
          <w:b/>
          <w:bCs/>
        </w:rPr>
        <w:t>National Firefighter Registry for Cancer</w:t>
      </w:r>
      <w:r w:rsidR="00AC1BDB">
        <w:t xml:space="preserve">, and </w:t>
      </w:r>
      <w:r w:rsidR="00AC1BDB" w:rsidRPr="00D0026A">
        <w:rPr>
          <w:b/>
          <w:bCs/>
        </w:rPr>
        <w:t>Mining Research</w:t>
      </w:r>
      <w:r w:rsidR="004831DE">
        <w:rPr>
          <w:b/>
          <w:bCs/>
        </w:rPr>
        <w:t xml:space="preserve"> </w:t>
      </w:r>
      <w:r w:rsidR="004831DE" w:rsidRPr="004831DE">
        <w:t>(despite these research divisions still being RIF’</w:t>
      </w:r>
      <w:r w:rsidR="00A62003">
        <w:t>d</w:t>
      </w:r>
      <w:r w:rsidR="004831DE" w:rsidRPr="004831DE">
        <w:t>)</w:t>
      </w:r>
      <w:r w:rsidR="00E300B6" w:rsidRPr="004831DE">
        <w:t>.</w:t>
      </w:r>
      <w:r w:rsidR="00E300B6">
        <w:t xml:space="preserve">  </w:t>
      </w:r>
      <w:r w:rsidR="00A62003">
        <w:t>F</w:t>
      </w:r>
      <w:r w:rsidR="00E300B6">
        <w:t xml:space="preserve">unding for the </w:t>
      </w:r>
      <w:r w:rsidR="00AC1BDB" w:rsidRPr="00D0026A">
        <w:rPr>
          <w:b/>
          <w:bCs/>
        </w:rPr>
        <w:t>World Trade Center Health Program</w:t>
      </w:r>
      <w:r w:rsidR="00AC1BDB">
        <w:t xml:space="preserve"> and </w:t>
      </w:r>
      <w:r w:rsidR="00AC1BDB" w:rsidRPr="00D0026A">
        <w:rPr>
          <w:b/>
          <w:bCs/>
        </w:rPr>
        <w:t>Energy Employees Occupational Illness Compensation Program</w:t>
      </w:r>
      <w:r w:rsidR="00E300B6">
        <w:t xml:space="preserve"> </w:t>
      </w:r>
      <w:r w:rsidR="005B162A">
        <w:t>is</w:t>
      </w:r>
      <w:r w:rsidR="00E300B6">
        <w:t xml:space="preserve"> also earmarked.</w:t>
      </w:r>
    </w:p>
    <w:p w14:paraId="76921DAA" w14:textId="785288BE" w:rsidR="00200D0A" w:rsidRPr="00786C4C" w:rsidRDefault="00AC1BDB" w:rsidP="00877F3D">
      <w:pPr>
        <w:spacing w:after="240" w:line="240" w:lineRule="auto"/>
      </w:pPr>
      <w:r>
        <w:t xml:space="preserve">However, there are other critical </w:t>
      </w:r>
      <w:r w:rsidR="00E300B6">
        <w:t xml:space="preserve">NIOSH </w:t>
      </w:r>
      <w:r>
        <w:t xml:space="preserve">programs that AIHA believes </w:t>
      </w:r>
      <w:r w:rsidR="00A95F23">
        <w:t>should be</w:t>
      </w:r>
      <w:r>
        <w:t xml:space="preserve"> funded</w:t>
      </w:r>
      <w:r w:rsidR="00E300B6">
        <w:t xml:space="preserve">, which </w:t>
      </w:r>
      <w:r w:rsidR="00D35A65">
        <w:t>help</w:t>
      </w:r>
      <w:r w:rsidR="00E300B6">
        <w:t xml:space="preserve"> ensure ou</w:t>
      </w:r>
      <w:r w:rsidR="00103D19">
        <w:t>r</w:t>
      </w:r>
      <w:r w:rsidR="00406385">
        <w:t xml:space="preserve"> </w:t>
      </w:r>
      <w:r w:rsidR="00E300B6">
        <w:t xml:space="preserve">country maintains </w:t>
      </w:r>
      <w:r w:rsidR="00D35A65">
        <w:t xml:space="preserve">a world-class center of research and training in occupational health and safety. </w:t>
      </w:r>
      <w:r w:rsidR="00406385">
        <w:t xml:space="preserve"> </w:t>
      </w:r>
      <w:r w:rsidR="00BC4875" w:rsidRPr="00786C4C">
        <w:t xml:space="preserve">It should be noted that </w:t>
      </w:r>
      <w:r w:rsidR="00BC4875" w:rsidRPr="00D35A65">
        <w:rPr>
          <w:b/>
          <w:bCs/>
        </w:rPr>
        <w:t>none</w:t>
      </w:r>
      <w:r w:rsidR="00BC4875" w:rsidRPr="00786C4C">
        <w:t xml:space="preserve"> of these programs are duplicated elsewhere in the federal government</w:t>
      </w:r>
      <w:r w:rsidR="00E43BA4">
        <w:t xml:space="preserve"> and include:</w:t>
      </w:r>
    </w:p>
    <w:p w14:paraId="33C4D8FE" w14:textId="4EE61567" w:rsidR="001A5458" w:rsidRPr="001A5458" w:rsidRDefault="001A5458" w:rsidP="00200D0A">
      <w:pPr>
        <w:pStyle w:val="ListParagraph"/>
        <w:widowControl w:val="0"/>
        <w:numPr>
          <w:ilvl w:val="0"/>
          <w:numId w:val="2"/>
        </w:numPr>
        <w:tabs>
          <w:tab w:val="left" w:pos="720"/>
        </w:tabs>
        <w:autoSpaceDE w:val="0"/>
        <w:autoSpaceDN w:val="0"/>
        <w:spacing w:before="72" w:after="120" w:line="240" w:lineRule="auto"/>
        <w:ind w:right="424"/>
        <w:rPr>
          <w:rFonts w:ascii="Aptos" w:hAnsi="Aptos"/>
          <w:b/>
          <w:bCs/>
          <w:color w:val="000000" w:themeColor="text1"/>
        </w:rPr>
      </w:pPr>
      <w:r w:rsidRPr="001A5458">
        <w:rPr>
          <w:rFonts w:ascii="Aptos" w:hAnsi="Aptos"/>
          <w:b/>
          <w:bCs/>
          <w:color w:val="000000" w:themeColor="text1"/>
        </w:rPr>
        <w:t>National Personal Protective Technology Laboratory:</w:t>
      </w:r>
      <w:r w:rsidRPr="001A5458">
        <w:rPr>
          <w:rFonts w:ascii="Aptos" w:hAnsi="Aptos"/>
          <w:color w:val="000000" w:themeColor="text1"/>
        </w:rPr>
        <w:t xml:space="preserve"> includes </w:t>
      </w:r>
      <w:r w:rsidR="00E76ABB">
        <w:rPr>
          <w:rFonts w:ascii="Aptos" w:hAnsi="Aptos"/>
          <w:color w:val="000000" w:themeColor="text1"/>
        </w:rPr>
        <w:t xml:space="preserve">the </w:t>
      </w:r>
      <w:r w:rsidRPr="001A5458">
        <w:rPr>
          <w:rFonts w:ascii="Aptos" w:hAnsi="Aptos"/>
          <w:b/>
          <w:bCs/>
          <w:i/>
          <w:iCs/>
          <w:color w:val="000000" w:themeColor="text1"/>
        </w:rPr>
        <w:t xml:space="preserve">Respirator </w:t>
      </w:r>
      <w:r w:rsidR="00877F3D">
        <w:rPr>
          <w:rFonts w:ascii="Aptos" w:hAnsi="Aptos"/>
          <w:b/>
          <w:bCs/>
          <w:i/>
          <w:iCs/>
          <w:color w:val="000000" w:themeColor="text1"/>
        </w:rPr>
        <w:t>Approval</w:t>
      </w:r>
      <w:r w:rsidRPr="001A5458">
        <w:rPr>
          <w:rFonts w:ascii="Aptos" w:hAnsi="Aptos"/>
          <w:b/>
          <w:bCs/>
          <w:i/>
          <w:iCs/>
          <w:color w:val="000000" w:themeColor="text1"/>
        </w:rPr>
        <w:t xml:space="preserve"> program</w:t>
      </w:r>
      <w:r w:rsidRPr="001A5458">
        <w:rPr>
          <w:rFonts w:ascii="Aptos" w:hAnsi="Aptos"/>
          <w:color w:val="000000" w:themeColor="text1"/>
        </w:rPr>
        <w:t>, a self-sustaining program (funded in part by manufacturer fees) essential for ensuring respirator effectiveness</w:t>
      </w:r>
    </w:p>
    <w:p w14:paraId="2851F9A1" w14:textId="20940A2F" w:rsidR="001A5458" w:rsidRPr="001A5458" w:rsidRDefault="001A5458" w:rsidP="00200D0A">
      <w:pPr>
        <w:pStyle w:val="ListParagraph"/>
        <w:widowControl w:val="0"/>
        <w:numPr>
          <w:ilvl w:val="0"/>
          <w:numId w:val="2"/>
        </w:numPr>
        <w:tabs>
          <w:tab w:val="left" w:pos="720"/>
        </w:tabs>
        <w:autoSpaceDE w:val="0"/>
        <w:autoSpaceDN w:val="0"/>
        <w:spacing w:before="72" w:after="120" w:line="240" w:lineRule="auto"/>
        <w:ind w:right="424"/>
        <w:rPr>
          <w:rFonts w:ascii="Aptos" w:hAnsi="Aptos"/>
          <w:b/>
          <w:bCs/>
          <w:color w:val="000000" w:themeColor="text1"/>
        </w:rPr>
      </w:pPr>
      <w:r w:rsidRPr="001A5458">
        <w:rPr>
          <w:rFonts w:ascii="Aptos" w:hAnsi="Aptos"/>
          <w:b/>
          <w:bCs/>
          <w:color w:val="000000" w:themeColor="text1"/>
        </w:rPr>
        <w:t xml:space="preserve">Health Hazard Evaluation (HHE) </w:t>
      </w:r>
      <w:r w:rsidR="00AF30CB">
        <w:rPr>
          <w:rFonts w:ascii="Aptos" w:hAnsi="Aptos"/>
          <w:b/>
          <w:bCs/>
          <w:color w:val="000000" w:themeColor="text1"/>
        </w:rPr>
        <w:t>P</w:t>
      </w:r>
      <w:r w:rsidRPr="001A5458">
        <w:rPr>
          <w:rFonts w:ascii="Aptos" w:hAnsi="Aptos"/>
          <w:b/>
          <w:bCs/>
          <w:color w:val="000000" w:themeColor="text1"/>
        </w:rPr>
        <w:t>rogram:</w:t>
      </w:r>
      <w:r w:rsidRPr="001A5458">
        <w:rPr>
          <w:rFonts w:ascii="Aptos" w:hAnsi="Aptos"/>
          <w:color w:val="000000" w:themeColor="text1"/>
        </w:rPr>
        <w:t xml:space="preserve"> helps identify causes of unexplained illness and assess the safety of new chemicals or processes</w:t>
      </w:r>
    </w:p>
    <w:p w14:paraId="2E767639" w14:textId="77777777" w:rsidR="002C6ADA" w:rsidRPr="002C6ADA" w:rsidRDefault="001A5458" w:rsidP="00200D0A">
      <w:pPr>
        <w:pStyle w:val="ListParagraph"/>
        <w:widowControl w:val="0"/>
        <w:numPr>
          <w:ilvl w:val="0"/>
          <w:numId w:val="2"/>
        </w:numPr>
        <w:tabs>
          <w:tab w:val="left" w:pos="720"/>
        </w:tabs>
        <w:autoSpaceDE w:val="0"/>
        <w:autoSpaceDN w:val="0"/>
        <w:spacing w:before="72" w:after="120" w:line="240" w:lineRule="auto"/>
        <w:ind w:right="424"/>
        <w:rPr>
          <w:rFonts w:ascii="Aptos" w:hAnsi="Aptos"/>
          <w:b/>
          <w:bCs/>
          <w:color w:val="000000" w:themeColor="text1"/>
        </w:rPr>
      </w:pPr>
      <w:r w:rsidRPr="001A5458">
        <w:rPr>
          <w:rFonts w:ascii="Aptos" w:hAnsi="Aptos"/>
          <w:b/>
          <w:bCs/>
          <w:color w:val="000000" w:themeColor="text1"/>
        </w:rPr>
        <w:t xml:space="preserve">Emergency Preparedness and Response Office: </w:t>
      </w:r>
      <w:r w:rsidRPr="001A5458">
        <w:rPr>
          <w:rFonts w:ascii="Aptos" w:hAnsi="Aptos"/>
          <w:color w:val="000000" w:themeColor="text1"/>
        </w:rPr>
        <w:t>coordinates NIOSH emergency preparedness and response activities</w:t>
      </w:r>
    </w:p>
    <w:p w14:paraId="3B518793" w14:textId="2B5634C4" w:rsidR="001A5458" w:rsidRPr="002C6ADA" w:rsidRDefault="001A5458" w:rsidP="00200D0A">
      <w:pPr>
        <w:pStyle w:val="ListParagraph"/>
        <w:widowControl w:val="0"/>
        <w:numPr>
          <w:ilvl w:val="0"/>
          <w:numId w:val="2"/>
        </w:numPr>
        <w:tabs>
          <w:tab w:val="left" w:pos="720"/>
        </w:tabs>
        <w:autoSpaceDE w:val="0"/>
        <w:autoSpaceDN w:val="0"/>
        <w:spacing w:before="72" w:after="120" w:line="240" w:lineRule="auto"/>
        <w:ind w:right="424"/>
        <w:rPr>
          <w:rFonts w:ascii="Aptos" w:hAnsi="Aptos"/>
          <w:b/>
          <w:bCs/>
          <w:color w:val="000000" w:themeColor="text1"/>
        </w:rPr>
      </w:pPr>
      <w:r w:rsidRPr="002C6ADA">
        <w:rPr>
          <w:rFonts w:ascii="Aptos" w:hAnsi="Aptos"/>
          <w:b/>
          <w:bCs/>
          <w:color w:val="000000" w:themeColor="text1"/>
        </w:rPr>
        <w:t xml:space="preserve">Division of Field Studies and Engineering: </w:t>
      </w:r>
      <w:r w:rsidR="003F4D09">
        <w:rPr>
          <w:rFonts w:ascii="Aptos" w:hAnsi="Aptos"/>
          <w:color w:val="000000" w:themeColor="text1"/>
        </w:rPr>
        <w:t>manag</w:t>
      </w:r>
      <w:r w:rsidR="00877F3D">
        <w:rPr>
          <w:rFonts w:ascii="Aptos" w:hAnsi="Aptos"/>
          <w:color w:val="000000" w:themeColor="text1"/>
        </w:rPr>
        <w:t>es</w:t>
      </w:r>
      <w:r w:rsidR="003F4D09">
        <w:rPr>
          <w:rFonts w:ascii="Aptos" w:hAnsi="Aptos"/>
          <w:color w:val="000000" w:themeColor="text1"/>
        </w:rPr>
        <w:t xml:space="preserve"> </w:t>
      </w:r>
      <w:r w:rsidRPr="002C6ADA">
        <w:rPr>
          <w:rFonts w:ascii="Aptos" w:hAnsi="Aptos"/>
          <w:color w:val="000000" w:themeColor="text1"/>
        </w:rPr>
        <w:t xml:space="preserve">engineering controls, physical hazards, </w:t>
      </w:r>
      <w:r w:rsidR="009001FE" w:rsidRPr="002C6ADA">
        <w:rPr>
          <w:rFonts w:ascii="Aptos" w:hAnsi="Aptos"/>
          <w:color w:val="000000" w:themeColor="text1"/>
        </w:rPr>
        <w:t>workers'</w:t>
      </w:r>
      <w:r w:rsidRPr="002C6ADA">
        <w:rPr>
          <w:rFonts w:ascii="Aptos" w:hAnsi="Aptos"/>
          <w:color w:val="000000" w:themeColor="text1"/>
        </w:rPr>
        <w:t xml:space="preserve"> compensation, occupational surveillance</w:t>
      </w:r>
      <w:r w:rsidR="009001FE" w:rsidRPr="002C6ADA">
        <w:rPr>
          <w:rFonts w:ascii="Aptos" w:hAnsi="Aptos"/>
          <w:color w:val="000000" w:themeColor="text1"/>
        </w:rPr>
        <w:t>,</w:t>
      </w:r>
      <w:r w:rsidRPr="002C6ADA">
        <w:rPr>
          <w:rFonts w:ascii="Aptos" w:hAnsi="Aptos"/>
          <w:color w:val="000000" w:themeColor="text1"/>
        </w:rPr>
        <w:t xml:space="preserve"> and cancer and reproductive epidemiology teams</w:t>
      </w:r>
    </w:p>
    <w:p w14:paraId="547B2415" w14:textId="6DC4FD0B" w:rsidR="001A5458" w:rsidRDefault="001A5458" w:rsidP="00200D0A">
      <w:pPr>
        <w:pStyle w:val="ListParagraph"/>
        <w:widowControl w:val="0"/>
        <w:numPr>
          <w:ilvl w:val="0"/>
          <w:numId w:val="5"/>
        </w:numPr>
        <w:tabs>
          <w:tab w:val="left" w:pos="720"/>
        </w:tabs>
        <w:autoSpaceDE w:val="0"/>
        <w:autoSpaceDN w:val="0"/>
        <w:spacing w:before="72" w:after="120" w:line="240" w:lineRule="auto"/>
        <w:ind w:right="424"/>
        <w:rPr>
          <w:rFonts w:ascii="Aptos" w:hAnsi="Aptos"/>
          <w:color w:val="000000" w:themeColor="text1"/>
        </w:rPr>
      </w:pPr>
      <w:r w:rsidRPr="001A5458">
        <w:rPr>
          <w:rFonts w:ascii="Aptos" w:hAnsi="Aptos"/>
          <w:b/>
          <w:bCs/>
          <w:color w:val="000000" w:themeColor="text1"/>
        </w:rPr>
        <w:t xml:space="preserve">Health Effects Laboratory Division: </w:t>
      </w:r>
      <w:r w:rsidRPr="001A5458">
        <w:rPr>
          <w:rFonts w:ascii="Aptos" w:hAnsi="Aptos"/>
          <w:color w:val="000000" w:themeColor="text1"/>
        </w:rPr>
        <w:t xml:space="preserve">includes </w:t>
      </w:r>
      <w:r w:rsidR="00200D0A">
        <w:rPr>
          <w:rFonts w:ascii="Aptos" w:hAnsi="Aptos"/>
          <w:color w:val="000000" w:themeColor="text1"/>
        </w:rPr>
        <w:t xml:space="preserve">the </w:t>
      </w:r>
      <w:r w:rsidRPr="001A5458">
        <w:rPr>
          <w:rFonts w:ascii="Aptos" w:hAnsi="Aptos"/>
          <w:b/>
          <w:bCs/>
          <w:i/>
          <w:iCs/>
          <w:color w:val="000000" w:themeColor="text1"/>
        </w:rPr>
        <w:t>NIOSH Manual of Analytical Methods (NMAM)</w:t>
      </w:r>
      <w:r w:rsidRPr="001A5458">
        <w:rPr>
          <w:rFonts w:ascii="Aptos" w:hAnsi="Aptos"/>
          <w:color w:val="000000" w:themeColor="text1"/>
        </w:rPr>
        <w:t xml:space="preserve"> </w:t>
      </w:r>
      <w:r w:rsidRPr="001A5458">
        <w:rPr>
          <w:rFonts w:ascii="Aptos" w:hAnsi="Aptos"/>
          <w:b/>
          <w:bCs/>
          <w:i/>
          <w:iCs/>
          <w:color w:val="000000" w:themeColor="text1"/>
        </w:rPr>
        <w:t xml:space="preserve">program </w:t>
      </w:r>
      <w:r w:rsidRPr="001A5458">
        <w:rPr>
          <w:rFonts w:ascii="Aptos" w:hAnsi="Aptos"/>
          <w:color w:val="000000" w:themeColor="text1"/>
        </w:rPr>
        <w:t>that develops and validates new methods to meet environmental and occupational health standards.</w:t>
      </w:r>
    </w:p>
    <w:p w14:paraId="775CED18" w14:textId="538E0A58" w:rsidR="00877F3D" w:rsidRPr="00877F3D" w:rsidRDefault="001A5458" w:rsidP="00877F3D">
      <w:pPr>
        <w:pStyle w:val="ListParagraph"/>
        <w:widowControl w:val="0"/>
        <w:numPr>
          <w:ilvl w:val="0"/>
          <w:numId w:val="5"/>
        </w:numPr>
        <w:tabs>
          <w:tab w:val="left" w:pos="720"/>
        </w:tabs>
        <w:autoSpaceDE w:val="0"/>
        <w:autoSpaceDN w:val="0"/>
        <w:spacing w:before="72" w:after="120" w:line="240" w:lineRule="auto"/>
        <w:ind w:right="424"/>
        <w:rPr>
          <w:rFonts w:ascii="Aptos" w:hAnsi="Aptos"/>
          <w:color w:val="000000" w:themeColor="text1"/>
        </w:rPr>
      </w:pPr>
      <w:r w:rsidRPr="001A5458">
        <w:rPr>
          <w:rFonts w:ascii="Aptos" w:hAnsi="Aptos"/>
          <w:b/>
          <w:bCs/>
          <w:color w:val="000000" w:themeColor="text1"/>
        </w:rPr>
        <w:t xml:space="preserve">Division of Science Integration: </w:t>
      </w:r>
      <w:r w:rsidR="00DD216B">
        <w:rPr>
          <w:rFonts w:ascii="Aptos" w:hAnsi="Aptos"/>
          <w:color w:val="000000" w:themeColor="text1"/>
        </w:rPr>
        <w:t>provides technical and educational information to industry partners and provides evaluation research to ensure the effectiveness of occupational safety and health program</w:t>
      </w:r>
      <w:r w:rsidR="005B162A">
        <w:rPr>
          <w:rFonts w:ascii="Aptos" w:hAnsi="Aptos"/>
          <w:color w:val="000000" w:themeColor="text1"/>
        </w:rPr>
        <w:t>s; also p</w:t>
      </w:r>
      <w:r w:rsidR="00DD216B">
        <w:rPr>
          <w:rFonts w:ascii="Aptos" w:hAnsi="Aptos"/>
          <w:color w:val="000000" w:themeColor="text1"/>
        </w:rPr>
        <w:t xml:space="preserve">ublishes the </w:t>
      </w:r>
      <w:r w:rsidRPr="001A5458">
        <w:rPr>
          <w:rFonts w:ascii="Aptos" w:hAnsi="Aptos"/>
          <w:b/>
          <w:bCs/>
          <w:i/>
          <w:iCs/>
          <w:color w:val="000000" w:themeColor="text1"/>
        </w:rPr>
        <w:t xml:space="preserve">NIOSH Pocket Guide </w:t>
      </w:r>
      <w:r w:rsidRPr="001A5458">
        <w:rPr>
          <w:rFonts w:ascii="Aptos" w:hAnsi="Aptos"/>
          <w:color w:val="000000" w:themeColor="text1"/>
        </w:rPr>
        <w:t xml:space="preserve">and </w:t>
      </w:r>
      <w:r w:rsidRPr="001A5458">
        <w:rPr>
          <w:rFonts w:ascii="Aptos" w:hAnsi="Aptos"/>
          <w:b/>
          <w:bCs/>
          <w:i/>
          <w:iCs/>
          <w:color w:val="000000" w:themeColor="text1"/>
        </w:rPr>
        <w:t xml:space="preserve">Occupational Exposure Banding </w:t>
      </w:r>
      <w:r w:rsidR="00E07119">
        <w:rPr>
          <w:rFonts w:ascii="Aptos" w:hAnsi="Aptos"/>
          <w:b/>
          <w:bCs/>
          <w:i/>
          <w:iCs/>
          <w:color w:val="000000" w:themeColor="text1"/>
        </w:rPr>
        <w:t>resources</w:t>
      </w:r>
      <w:r w:rsidR="00DD216B">
        <w:rPr>
          <w:rFonts w:ascii="Aptos" w:hAnsi="Aptos"/>
          <w:b/>
          <w:bCs/>
          <w:i/>
          <w:iCs/>
          <w:color w:val="000000" w:themeColor="text1"/>
        </w:rPr>
        <w:t>.</w:t>
      </w:r>
      <w:r w:rsidR="00E76ABB">
        <w:rPr>
          <w:rFonts w:ascii="Aptos" w:hAnsi="Aptos"/>
          <w:b/>
          <w:bCs/>
          <w:i/>
          <w:iCs/>
          <w:color w:val="000000" w:themeColor="text1"/>
        </w:rPr>
        <w:br/>
      </w:r>
      <w:r w:rsidR="00E76ABB">
        <w:rPr>
          <w:rFonts w:ascii="Aptos" w:hAnsi="Aptos"/>
          <w:b/>
          <w:bCs/>
          <w:i/>
          <w:iCs/>
          <w:color w:val="000000" w:themeColor="text1"/>
        </w:rPr>
        <w:br/>
      </w:r>
    </w:p>
    <w:p w14:paraId="78537566" w14:textId="6118FF64" w:rsidR="003A6AB2" w:rsidRPr="00DD70E7" w:rsidRDefault="001A5458" w:rsidP="00200D0A">
      <w:pPr>
        <w:pStyle w:val="ListParagraph"/>
        <w:widowControl w:val="0"/>
        <w:numPr>
          <w:ilvl w:val="0"/>
          <w:numId w:val="5"/>
        </w:numPr>
        <w:tabs>
          <w:tab w:val="left" w:pos="720"/>
        </w:tabs>
        <w:autoSpaceDE w:val="0"/>
        <w:autoSpaceDN w:val="0"/>
        <w:spacing w:before="72" w:after="120" w:line="240" w:lineRule="auto"/>
        <w:ind w:right="424"/>
        <w:rPr>
          <w:rFonts w:ascii="Aptos" w:hAnsi="Aptos"/>
          <w:color w:val="000000" w:themeColor="text1"/>
        </w:rPr>
      </w:pPr>
      <w:r w:rsidRPr="00DD70E7">
        <w:rPr>
          <w:rFonts w:ascii="Aptos" w:hAnsi="Aptos"/>
          <w:b/>
          <w:bCs/>
          <w:color w:val="000000" w:themeColor="text1"/>
        </w:rPr>
        <w:lastRenderedPageBreak/>
        <w:t xml:space="preserve">Office of Extramural </w:t>
      </w:r>
      <w:r w:rsidR="009001FE" w:rsidRPr="00DD70E7">
        <w:rPr>
          <w:rFonts w:ascii="Aptos" w:hAnsi="Aptos"/>
          <w:b/>
          <w:bCs/>
          <w:color w:val="000000" w:themeColor="text1"/>
        </w:rPr>
        <w:t>Programs</w:t>
      </w:r>
      <w:r w:rsidR="00E07119">
        <w:rPr>
          <w:rFonts w:ascii="Aptos" w:hAnsi="Aptos"/>
          <w:b/>
          <w:bCs/>
          <w:color w:val="000000" w:themeColor="text1"/>
        </w:rPr>
        <w:t>:</w:t>
      </w:r>
      <w:r w:rsidR="009001FE" w:rsidRPr="00DD70E7">
        <w:rPr>
          <w:rFonts w:ascii="Aptos" w:hAnsi="Aptos"/>
          <w:color w:val="000000" w:themeColor="text1"/>
        </w:rPr>
        <w:t xml:space="preserve"> </w:t>
      </w:r>
      <w:r w:rsidRPr="00DD70E7">
        <w:rPr>
          <w:rFonts w:ascii="Aptos" w:hAnsi="Aptos"/>
          <w:color w:val="000000" w:themeColor="text1"/>
        </w:rPr>
        <w:t>manages and supports funding for</w:t>
      </w:r>
      <w:r w:rsidR="003A6AB2" w:rsidRPr="00DD70E7">
        <w:rPr>
          <w:rFonts w:ascii="Aptos" w:hAnsi="Aptos"/>
          <w:color w:val="000000" w:themeColor="text1"/>
        </w:rPr>
        <w:t>:</w:t>
      </w:r>
    </w:p>
    <w:p w14:paraId="55A06C91" w14:textId="3BDE9F92" w:rsidR="003A6AB2" w:rsidRDefault="001A5458" w:rsidP="00200D0A">
      <w:pPr>
        <w:pStyle w:val="ListParagraph"/>
        <w:widowControl w:val="0"/>
        <w:numPr>
          <w:ilvl w:val="1"/>
          <w:numId w:val="5"/>
        </w:numPr>
        <w:tabs>
          <w:tab w:val="left" w:pos="720"/>
        </w:tabs>
        <w:spacing w:before="100" w:beforeAutospacing="1" w:after="120" w:line="240" w:lineRule="auto"/>
        <w:ind w:right="418"/>
        <w:rPr>
          <w:rFonts w:ascii="Aptos" w:hAnsi="Aptos"/>
          <w:color w:val="000000" w:themeColor="text1"/>
        </w:rPr>
      </w:pPr>
      <w:r w:rsidRPr="003A6AB2">
        <w:rPr>
          <w:rFonts w:ascii="Aptos" w:hAnsi="Aptos"/>
          <w:b/>
          <w:bCs/>
          <w:color w:val="000000" w:themeColor="text1"/>
        </w:rPr>
        <w:t>18 E</w:t>
      </w:r>
      <w:r w:rsidR="0004059B" w:rsidRPr="003A6AB2">
        <w:rPr>
          <w:rFonts w:ascii="Aptos" w:hAnsi="Aptos"/>
          <w:b/>
          <w:bCs/>
          <w:color w:val="000000" w:themeColor="text1"/>
        </w:rPr>
        <w:t>ducation &amp; Research Centers (</w:t>
      </w:r>
      <w:hyperlink r:id="rId7" w:history="1">
        <w:r w:rsidR="0004059B" w:rsidRPr="00996D02">
          <w:rPr>
            <w:rStyle w:val="Hyperlink"/>
            <w:rFonts w:ascii="Aptos" w:hAnsi="Aptos"/>
            <w:b/>
            <w:bCs/>
          </w:rPr>
          <w:t>ER</w:t>
        </w:r>
        <w:r w:rsidRPr="00996D02">
          <w:rPr>
            <w:rStyle w:val="Hyperlink"/>
            <w:rFonts w:ascii="Aptos" w:hAnsi="Aptos"/>
            <w:b/>
            <w:bCs/>
          </w:rPr>
          <w:t>Cs</w:t>
        </w:r>
      </w:hyperlink>
      <w:r w:rsidR="0004059B" w:rsidRPr="003A6AB2">
        <w:rPr>
          <w:rFonts w:ascii="Aptos" w:hAnsi="Aptos"/>
          <w:b/>
          <w:bCs/>
          <w:color w:val="000000" w:themeColor="text1"/>
        </w:rPr>
        <w:t>)</w:t>
      </w:r>
      <w:r w:rsidR="003A6AB2" w:rsidRPr="003A6AB2">
        <w:rPr>
          <w:rFonts w:ascii="Aptos" w:hAnsi="Aptos"/>
          <w:b/>
          <w:bCs/>
          <w:color w:val="000000" w:themeColor="text1"/>
        </w:rPr>
        <w:t>,</w:t>
      </w:r>
      <w:r w:rsidR="003A6AB2">
        <w:rPr>
          <w:rFonts w:ascii="Aptos" w:hAnsi="Aptos"/>
          <w:color w:val="000000" w:themeColor="text1"/>
        </w:rPr>
        <w:t xml:space="preserve"> </w:t>
      </w:r>
      <w:r w:rsidR="003A6AB2" w:rsidRPr="003A6AB2">
        <w:rPr>
          <w:rFonts w:ascii="Aptos" w:hAnsi="Aptos"/>
          <w:color w:val="000000" w:themeColor="text1"/>
        </w:rPr>
        <w:t xml:space="preserve">providing state-of-the-art interdisciplinary training to produce the next generation of </w:t>
      </w:r>
      <w:r w:rsidR="00996D02">
        <w:rPr>
          <w:rFonts w:ascii="Aptos" w:hAnsi="Aptos"/>
          <w:color w:val="000000" w:themeColor="text1"/>
        </w:rPr>
        <w:t xml:space="preserve">OEHS </w:t>
      </w:r>
      <w:r w:rsidR="003A6AB2" w:rsidRPr="003A6AB2">
        <w:rPr>
          <w:rFonts w:ascii="Aptos" w:hAnsi="Aptos"/>
          <w:color w:val="000000" w:themeColor="text1"/>
        </w:rPr>
        <w:t xml:space="preserve">practitioners and researchers. </w:t>
      </w:r>
    </w:p>
    <w:p w14:paraId="519C1E0B" w14:textId="14A4C3CC" w:rsidR="00996D02" w:rsidRPr="003A6AB2" w:rsidRDefault="00996D02" w:rsidP="00200D0A">
      <w:pPr>
        <w:pStyle w:val="ListParagraph"/>
        <w:widowControl w:val="0"/>
        <w:numPr>
          <w:ilvl w:val="1"/>
          <w:numId w:val="5"/>
        </w:numPr>
        <w:tabs>
          <w:tab w:val="left" w:pos="720"/>
        </w:tabs>
        <w:spacing w:before="100" w:beforeAutospacing="1" w:after="120" w:line="240" w:lineRule="auto"/>
        <w:ind w:right="418"/>
        <w:rPr>
          <w:rFonts w:ascii="Aptos" w:hAnsi="Aptos"/>
          <w:color w:val="000000" w:themeColor="text1"/>
        </w:rPr>
      </w:pPr>
      <w:r>
        <w:rPr>
          <w:rFonts w:ascii="Aptos" w:hAnsi="Aptos"/>
          <w:b/>
          <w:bCs/>
          <w:color w:val="000000" w:themeColor="text1"/>
        </w:rPr>
        <w:t>Training Project Grants (</w:t>
      </w:r>
      <w:hyperlink r:id="rId8" w:history="1">
        <w:r w:rsidRPr="00996D02">
          <w:rPr>
            <w:rStyle w:val="Hyperlink"/>
            <w:rFonts w:ascii="Aptos" w:hAnsi="Aptos"/>
            <w:b/>
            <w:bCs/>
          </w:rPr>
          <w:t>TPGs</w:t>
        </w:r>
      </w:hyperlink>
      <w:r>
        <w:rPr>
          <w:rFonts w:ascii="Aptos" w:hAnsi="Aptos"/>
          <w:b/>
          <w:bCs/>
          <w:color w:val="000000" w:themeColor="text1"/>
        </w:rPr>
        <w:t xml:space="preserve">), </w:t>
      </w:r>
      <w:r>
        <w:rPr>
          <w:rFonts w:ascii="Aptos" w:hAnsi="Aptos"/>
          <w:color w:val="000000" w:themeColor="text1"/>
        </w:rPr>
        <w:t>academic-based training for the next generation of OEHS leaders</w:t>
      </w:r>
    </w:p>
    <w:p w14:paraId="405A24EE" w14:textId="210A3DB7" w:rsidR="003A6AB2" w:rsidRPr="003A6AB2" w:rsidRDefault="001A5458" w:rsidP="00200D0A">
      <w:pPr>
        <w:pStyle w:val="ListParagraph"/>
        <w:widowControl w:val="0"/>
        <w:numPr>
          <w:ilvl w:val="1"/>
          <w:numId w:val="5"/>
        </w:numPr>
        <w:tabs>
          <w:tab w:val="left" w:pos="720"/>
        </w:tabs>
        <w:spacing w:before="100" w:beforeAutospacing="1" w:after="120" w:line="240" w:lineRule="auto"/>
        <w:ind w:right="418"/>
        <w:rPr>
          <w:rFonts w:ascii="Aptos" w:hAnsi="Aptos"/>
          <w:color w:val="000000" w:themeColor="text1"/>
        </w:rPr>
      </w:pPr>
      <w:r w:rsidRPr="003A6AB2">
        <w:rPr>
          <w:rFonts w:ascii="Aptos" w:hAnsi="Aptos"/>
          <w:b/>
          <w:bCs/>
          <w:color w:val="000000" w:themeColor="text1"/>
        </w:rPr>
        <w:t>10 Centers for T</w:t>
      </w:r>
      <w:r w:rsidR="0004059B" w:rsidRPr="003A6AB2">
        <w:rPr>
          <w:rFonts w:ascii="Aptos" w:hAnsi="Aptos"/>
          <w:b/>
          <w:bCs/>
          <w:color w:val="000000" w:themeColor="text1"/>
        </w:rPr>
        <w:t>otal Worker Health (</w:t>
      </w:r>
      <w:hyperlink r:id="rId9" w:history="1">
        <w:r w:rsidR="0004059B" w:rsidRPr="00996D02">
          <w:rPr>
            <w:rStyle w:val="Hyperlink"/>
            <w:rFonts w:ascii="Aptos" w:hAnsi="Aptos"/>
            <w:b/>
            <w:bCs/>
          </w:rPr>
          <w:t>TWH</w:t>
        </w:r>
      </w:hyperlink>
      <w:r w:rsidR="0004059B" w:rsidRPr="003A6AB2">
        <w:rPr>
          <w:rFonts w:ascii="Aptos" w:hAnsi="Aptos"/>
          <w:b/>
          <w:bCs/>
          <w:color w:val="000000" w:themeColor="text1"/>
        </w:rPr>
        <w:t>)</w:t>
      </w:r>
      <w:r w:rsidR="003A6AB2" w:rsidRPr="003A6AB2">
        <w:rPr>
          <w:rFonts w:ascii="Aptos" w:hAnsi="Aptos"/>
          <w:b/>
          <w:bCs/>
          <w:color w:val="000000" w:themeColor="text1"/>
        </w:rPr>
        <w:t>,</w:t>
      </w:r>
      <w:r w:rsidR="003A6AB2" w:rsidRPr="003A6AB2">
        <w:rPr>
          <w:rFonts w:ascii="Aptos" w:hAnsi="Aptos"/>
          <w:color w:val="000000" w:themeColor="text1"/>
        </w:rPr>
        <w:t xml:space="preserve"> conducting research that generates new knowledge</w:t>
      </w:r>
      <w:r w:rsidR="00996D02">
        <w:rPr>
          <w:rFonts w:ascii="Aptos" w:hAnsi="Aptos"/>
          <w:color w:val="000000" w:themeColor="text1"/>
        </w:rPr>
        <w:t>,</w:t>
      </w:r>
      <w:r w:rsidR="003A6AB2" w:rsidRPr="003A6AB2">
        <w:rPr>
          <w:rFonts w:ascii="Aptos" w:hAnsi="Aptos"/>
          <w:color w:val="000000" w:themeColor="text1"/>
        </w:rPr>
        <w:t xml:space="preserve"> offers practical solutions that keep</w:t>
      </w:r>
    </w:p>
    <w:p w14:paraId="339E585D" w14:textId="3A0E794C" w:rsidR="003A6AB2" w:rsidRPr="003A6AB2" w:rsidRDefault="003A6AB2" w:rsidP="002B7927">
      <w:pPr>
        <w:pStyle w:val="ListParagraph"/>
        <w:widowControl w:val="0"/>
        <w:tabs>
          <w:tab w:val="left" w:pos="720"/>
        </w:tabs>
        <w:spacing w:before="100" w:beforeAutospacing="1" w:after="120" w:line="240" w:lineRule="auto"/>
        <w:ind w:left="1440" w:right="418"/>
        <w:rPr>
          <w:rFonts w:ascii="Aptos" w:hAnsi="Aptos"/>
          <w:color w:val="000000" w:themeColor="text1"/>
        </w:rPr>
      </w:pPr>
      <w:r w:rsidRPr="003A6AB2">
        <w:rPr>
          <w:rFonts w:ascii="Aptos" w:hAnsi="Aptos"/>
          <w:color w:val="000000" w:themeColor="text1"/>
        </w:rPr>
        <w:t>workers safe and healthy</w:t>
      </w:r>
      <w:r w:rsidR="00996D02">
        <w:rPr>
          <w:rFonts w:ascii="Aptos" w:hAnsi="Aptos"/>
          <w:color w:val="000000" w:themeColor="text1"/>
        </w:rPr>
        <w:t>,</w:t>
      </w:r>
      <w:r w:rsidRPr="003A6AB2">
        <w:rPr>
          <w:rFonts w:ascii="Aptos" w:hAnsi="Aptos"/>
          <w:color w:val="000000" w:themeColor="text1"/>
        </w:rPr>
        <w:t xml:space="preserve"> and help</w:t>
      </w:r>
      <w:r w:rsidR="00996D02">
        <w:rPr>
          <w:rFonts w:ascii="Aptos" w:hAnsi="Aptos"/>
          <w:color w:val="000000" w:themeColor="text1"/>
        </w:rPr>
        <w:t>s</w:t>
      </w:r>
      <w:r w:rsidRPr="003A6AB2">
        <w:rPr>
          <w:rFonts w:ascii="Aptos" w:hAnsi="Aptos"/>
          <w:color w:val="000000" w:themeColor="text1"/>
        </w:rPr>
        <w:t xml:space="preserve"> employers build and retain a productive workforc</w:t>
      </w:r>
      <w:r w:rsidR="00996D02">
        <w:rPr>
          <w:rFonts w:ascii="Aptos" w:hAnsi="Aptos"/>
          <w:color w:val="000000" w:themeColor="text1"/>
        </w:rPr>
        <w:t>e</w:t>
      </w:r>
    </w:p>
    <w:p w14:paraId="63A2A640" w14:textId="19A119E1" w:rsidR="003A6AB2" w:rsidRPr="00996D02" w:rsidRDefault="001A5458" w:rsidP="00200D0A">
      <w:pPr>
        <w:pStyle w:val="ListParagraph"/>
        <w:widowControl w:val="0"/>
        <w:numPr>
          <w:ilvl w:val="1"/>
          <w:numId w:val="5"/>
        </w:numPr>
        <w:tabs>
          <w:tab w:val="left" w:pos="720"/>
        </w:tabs>
        <w:spacing w:before="100" w:beforeAutospacing="1" w:after="120" w:line="240" w:lineRule="auto"/>
        <w:ind w:right="418"/>
      </w:pPr>
      <w:r w:rsidRPr="003A6AB2">
        <w:rPr>
          <w:rFonts w:ascii="Aptos" w:hAnsi="Aptos"/>
          <w:b/>
          <w:bCs/>
          <w:color w:val="000000" w:themeColor="text1"/>
        </w:rPr>
        <w:t xml:space="preserve">12 Centers for </w:t>
      </w:r>
      <w:r w:rsidR="003A6AB2" w:rsidRPr="003A6AB2">
        <w:rPr>
          <w:rFonts w:ascii="Aptos" w:hAnsi="Aptos"/>
          <w:b/>
          <w:bCs/>
          <w:color w:val="000000" w:themeColor="text1"/>
        </w:rPr>
        <w:t>Agriculture, Forestry, and Fishing</w:t>
      </w:r>
      <w:r w:rsidRPr="003A6AB2">
        <w:rPr>
          <w:rFonts w:ascii="Aptos" w:hAnsi="Aptos"/>
          <w:b/>
          <w:bCs/>
          <w:color w:val="000000" w:themeColor="text1"/>
        </w:rPr>
        <w:t xml:space="preserve"> </w:t>
      </w:r>
      <w:r w:rsidR="003A6AB2" w:rsidRPr="003A6AB2">
        <w:rPr>
          <w:rFonts w:ascii="Aptos" w:hAnsi="Aptos"/>
          <w:b/>
          <w:bCs/>
          <w:color w:val="000000" w:themeColor="text1"/>
        </w:rPr>
        <w:t>(</w:t>
      </w:r>
      <w:hyperlink r:id="rId10" w:history="1">
        <w:r w:rsidR="003A6AB2" w:rsidRPr="00996D02">
          <w:rPr>
            <w:rStyle w:val="Hyperlink"/>
            <w:rFonts w:ascii="Aptos" w:hAnsi="Aptos"/>
            <w:b/>
            <w:bCs/>
          </w:rPr>
          <w:t>AgFF</w:t>
        </w:r>
      </w:hyperlink>
      <w:r w:rsidR="003A6AB2" w:rsidRPr="003A6AB2">
        <w:rPr>
          <w:rFonts w:ascii="Aptos" w:hAnsi="Aptos"/>
          <w:b/>
          <w:bCs/>
          <w:color w:val="000000" w:themeColor="text1"/>
        </w:rPr>
        <w:t>),</w:t>
      </w:r>
      <w:r w:rsidR="003A6AB2" w:rsidRPr="003A6AB2">
        <w:rPr>
          <w:rFonts w:ascii="Aptos" w:hAnsi="Aptos"/>
          <w:color w:val="000000" w:themeColor="text1"/>
        </w:rPr>
        <w:t xml:space="preserve"> the only federal non-regulatory program working to ensure the safety and health of millions of essential workers and business owners in some of our nation’s most dangerous industry sectors</w:t>
      </w:r>
    </w:p>
    <w:p w14:paraId="6DBEC286" w14:textId="1CE58885" w:rsidR="00996D02" w:rsidRDefault="00996D02" w:rsidP="00200D0A">
      <w:pPr>
        <w:pStyle w:val="ListParagraph"/>
        <w:widowControl w:val="0"/>
        <w:numPr>
          <w:ilvl w:val="1"/>
          <w:numId w:val="5"/>
        </w:numPr>
        <w:tabs>
          <w:tab w:val="left" w:pos="720"/>
        </w:tabs>
        <w:spacing w:before="100" w:beforeAutospacing="1" w:after="120" w:line="240" w:lineRule="auto"/>
        <w:ind w:right="418"/>
      </w:pPr>
      <w:r>
        <w:rPr>
          <w:rFonts w:ascii="Aptos" w:hAnsi="Aptos"/>
          <w:b/>
          <w:bCs/>
          <w:color w:val="000000" w:themeColor="text1"/>
        </w:rPr>
        <w:t xml:space="preserve">National Construction Center, </w:t>
      </w:r>
      <w:r>
        <w:rPr>
          <w:rFonts w:ascii="Aptos" w:hAnsi="Aptos"/>
          <w:color w:val="000000" w:themeColor="text1"/>
        </w:rPr>
        <w:t xml:space="preserve">administered by </w:t>
      </w:r>
      <w:hyperlink r:id="rId11" w:history="1">
        <w:r w:rsidRPr="00877F3D">
          <w:rPr>
            <w:rStyle w:val="Hyperlink"/>
            <w:rFonts w:ascii="Aptos" w:hAnsi="Aptos"/>
            <w:b/>
            <w:bCs/>
          </w:rPr>
          <w:t>CPWR</w:t>
        </w:r>
      </w:hyperlink>
      <w:r>
        <w:rPr>
          <w:rFonts w:ascii="Aptos" w:hAnsi="Aptos"/>
          <w:color w:val="000000" w:themeColor="text1"/>
        </w:rPr>
        <w:t xml:space="preserve"> (</w:t>
      </w:r>
      <w:r w:rsidRPr="00877F3D">
        <w:rPr>
          <w:rFonts w:ascii="Aptos" w:hAnsi="Aptos"/>
          <w:b/>
          <w:bCs/>
          <w:color w:val="000000" w:themeColor="text1"/>
        </w:rPr>
        <w:t>Center for Construction Research and Training</w:t>
      </w:r>
      <w:r>
        <w:rPr>
          <w:rFonts w:ascii="Aptos" w:hAnsi="Aptos"/>
          <w:color w:val="000000" w:themeColor="text1"/>
        </w:rPr>
        <w:t>)</w:t>
      </w:r>
      <w:r w:rsidR="00BC4875">
        <w:rPr>
          <w:rFonts w:ascii="Aptos" w:hAnsi="Aptos"/>
          <w:color w:val="000000" w:themeColor="text1"/>
        </w:rPr>
        <w:t xml:space="preserve"> and focused on understanding and developing practical solutions to hazards in construction.</w:t>
      </w:r>
    </w:p>
    <w:p w14:paraId="35585BE2" w14:textId="77777777" w:rsidR="00877F3D" w:rsidRDefault="00877F3D" w:rsidP="00200D0A">
      <w:pPr>
        <w:spacing w:after="120" w:line="240" w:lineRule="auto"/>
      </w:pPr>
    </w:p>
    <w:p w14:paraId="39EC700B" w14:textId="25331FD1" w:rsidR="001A5458" w:rsidRDefault="001A5458" w:rsidP="00877F3D">
      <w:pPr>
        <w:spacing w:after="240" w:line="240" w:lineRule="auto"/>
      </w:pPr>
      <w:r>
        <w:t>These programs not only help ensure a safer workforce; they also rely on highly skilled and respected scientific professionals. Their continued work within HHS is crucial to sustaining innovation and public health protections, particularly as American manufacturing and industry continue to grow.</w:t>
      </w:r>
    </w:p>
    <w:p w14:paraId="2C8879FB" w14:textId="19C9C778" w:rsidR="001A5458" w:rsidRDefault="001A5458" w:rsidP="00877F3D">
      <w:pPr>
        <w:spacing w:after="240" w:line="240" w:lineRule="auto"/>
      </w:pPr>
      <w:r>
        <w:t xml:space="preserve">NIOSH provides a significant return on investment. Utilizing a small percentage of the national budget, just $363 million for its annual budget, it has saved countless lives. </w:t>
      </w:r>
      <w:hyperlink r:id="rId12" w:history="1">
        <w:r w:rsidRPr="009001FE">
          <w:rPr>
            <w:rStyle w:val="Hyperlink"/>
          </w:rPr>
          <w:t>This study</w:t>
        </w:r>
      </w:hyperlink>
      <w:r>
        <w:t xml:space="preserve"> estimated that just three NIOSH case studies (with a cost of $5.1 million) have resulted in an annual economic value of $338 million to over $1.2 billion.</w:t>
      </w:r>
    </w:p>
    <w:p w14:paraId="76D43304" w14:textId="33DD9255" w:rsidR="001A5458" w:rsidRDefault="001A5458" w:rsidP="00877F3D">
      <w:pPr>
        <w:spacing w:after="240" w:line="240" w:lineRule="auto"/>
      </w:pPr>
      <w:r>
        <w:t xml:space="preserve">In closing, the work previously carried out by NIOSH plays a foundational role in protecting American workers. Without adequate support for these programs, </w:t>
      </w:r>
      <w:r w:rsidR="009001FE">
        <w:t xml:space="preserve">achieving a healthier American workforce will be </w:t>
      </w:r>
      <w:r w:rsidR="00BC4875">
        <w:t>a significant challenge</w:t>
      </w:r>
      <w:r>
        <w:t>.</w:t>
      </w:r>
    </w:p>
    <w:p w14:paraId="765A86D9" w14:textId="77777777" w:rsidR="001A5458" w:rsidRDefault="001A5458" w:rsidP="00877F3D">
      <w:pPr>
        <w:spacing w:after="240" w:line="240" w:lineRule="auto"/>
      </w:pPr>
      <w:r>
        <w:t>Thank you for your attention to this important matter.  On behalf of our association, we would be grateful for your support in ensuring these vital functions are fully restored and maintained.</w:t>
      </w:r>
    </w:p>
    <w:p w14:paraId="09F429AC" w14:textId="77777777" w:rsidR="001A5458" w:rsidRDefault="001A5458" w:rsidP="00200D0A">
      <w:pPr>
        <w:spacing w:after="120" w:line="240" w:lineRule="auto"/>
      </w:pPr>
    </w:p>
    <w:p w14:paraId="76EF6241" w14:textId="1E5F00BB" w:rsidR="001A5458" w:rsidRPr="00877F3D" w:rsidRDefault="009001FE" w:rsidP="00200D0A">
      <w:pPr>
        <w:spacing w:after="120" w:line="240" w:lineRule="auto"/>
        <w:rPr>
          <w:i/>
          <w:iCs/>
        </w:rPr>
      </w:pPr>
      <w:r w:rsidRPr="00877F3D">
        <w:rPr>
          <w:i/>
          <w:iCs/>
        </w:rPr>
        <w:t>PS:</w:t>
      </w:r>
      <w:r w:rsidR="001A5458" w:rsidRPr="00877F3D">
        <w:rPr>
          <w:i/>
          <w:iCs/>
        </w:rPr>
        <w:t xml:space="preserve"> Watch the short video here from AIHA member Rick Neitzel at the University of Michigan on why NIOSH matters.</w:t>
      </w:r>
    </w:p>
    <w:p w14:paraId="3A570758" w14:textId="5765EC77" w:rsidR="001A5458" w:rsidRPr="00877F3D" w:rsidRDefault="001A5458" w:rsidP="00877F3D">
      <w:pPr>
        <w:spacing w:after="120" w:line="240" w:lineRule="auto"/>
        <w:rPr>
          <w:i/>
          <w:iCs/>
        </w:rPr>
      </w:pPr>
      <w:hyperlink r:id="rId13" w:history="1">
        <w:r w:rsidRPr="00877F3D">
          <w:rPr>
            <w:rStyle w:val="Hyperlink"/>
            <w:i/>
            <w:iCs/>
          </w:rPr>
          <w:t>https://www.youtube.com/watch?v=Lcs8oeXHsJ0</w:t>
        </w:r>
      </w:hyperlink>
      <w:r w:rsidRPr="00877F3D">
        <w:rPr>
          <w:i/>
          <w:iCs/>
        </w:rPr>
        <w:t xml:space="preserve"> </w:t>
      </w:r>
    </w:p>
    <w:p w14:paraId="6A1E42AE" w14:textId="3C13A709" w:rsidR="00983D89" w:rsidRPr="001A5458" w:rsidRDefault="00983D89" w:rsidP="001A5458"/>
    <w:sectPr w:rsidR="00983D89" w:rsidRPr="001A545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88496" w14:textId="77777777" w:rsidR="00625C34" w:rsidRDefault="00625C34" w:rsidP="001A5458">
      <w:pPr>
        <w:spacing w:after="0" w:line="240" w:lineRule="auto"/>
      </w:pPr>
      <w:r>
        <w:separator/>
      </w:r>
    </w:p>
  </w:endnote>
  <w:endnote w:type="continuationSeparator" w:id="0">
    <w:p w14:paraId="2DBED165" w14:textId="77777777" w:rsidR="00625C34" w:rsidRDefault="00625C34" w:rsidP="001A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72B2" w14:textId="77777777" w:rsidR="00625C34" w:rsidRDefault="00625C34" w:rsidP="001A5458">
      <w:pPr>
        <w:spacing w:after="0" w:line="240" w:lineRule="auto"/>
      </w:pPr>
      <w:r>
        <w:separator/>
      </w:r>
    </w:p>
  </w:footnote>
  <w:footnote w:type="continuationSeparator" w:id="0">
    <w:p w14:paraId="290E1677" w14:textId="77777777" w:rsidR="00625C34" w:rsidRDefault="00625C34" w:rsidP="001A5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C8CD" w14:textId="49A67C97" w:rsidR="001A5458" w:rsidRDefault="001A5458">
    <w:pPr>
      <w:pStyle w:val="Header"/>
    </w:pPr>
    <w:r>
      <w:t>Revised Grassroots Advocacy Campaign #</w:t>
    </w:r>
    <w:r w:rsidR="0004059B">
      <w:t>3</w:t>
    </w:r>
  </w:p>
  <w:p w14:paraId="279F72F1" w14:textId="5D8ACF9C" w:rsidR="00534379" w:rsidRDefault="00534379">
    <w:pPr>
      <w:pStyle w:val="Header"/>
    </w:pPr>
    <w:r>
      <w:t xml:space="preserve">Member Letter for VoterVoice Portal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796"/>
    <w:multiLevelType w:val="hybridMultilevel"/>
    <w:tmpl w:val="50BA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B6EA5"/>
    <w:multiLevelType w:val="hybridMultilevel"/>
    <w:tmpl w:val="EB68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D4AA6"/>
    <w:multiLevelType w:val="hybridMultilevel"/>
    <w:tmpl w:val="ED741A3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15:restartNumberingAfterBreak="0">
    <w:nsid w:val="3A18690A"/>
    <w:multiLevelType w:val="hybridMultilevel"/>
    <w:tmpl w:val="FA3E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E66DE"/>
    <w:multiLevelType w:val="hybridMultilevel"/>
    <w:tmpl w:val="3AE83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57803"/>
    <w:multiLevelType w:val="hybridMultilevel"/>
    <w:tmpl w:val="D8AE4144"/>
    <w:lvl w:ilvl="0" w:tplc="EDECF634">
      <w:start w:val="1"/>
      <w:numFmt w:val="bullet"/>
      <w:lvlText w:val=""/>
      <w:lvlJc w:val="left"/>
      <w:pPr>
        <w:ind w:left="1080" w:hanging="360"/>
      </w:pPr>
      <w:rPr>
        <w:rFonts w:ascii="Symbol" w:hAnsi="Symbol" w:hint="default"/>
        <w:b w:val="0"/>
        <w:bCs w:val="0"/>
        <w:i w:val="0"/>
        <w:iCs w:val="0"/>
        <w:spacing w:val="0"/>
        <w:w w:val="100"/>
        <w:sz w:val="24"/>
        <w:szCs w:val="24"/>
        <w:lang w:val="en-US" w:eastAsia="en-US" w:bidi="ar-SA"/>
      </w:rPr>
    </w:lvl>
    <w:lvl w:ilvl="1" w:tplc="CAEE97F0">
      <w:start w:val="1"/>
      <w:numFmt w:val="bullet"/>
      <w:lvlText w:val="o"/>
      <w:lvlJc w:val="left"/>
      <w:pPr>
        <w:ind w:left="1800" w:hanging="360"/>
      </w:pPr>
      <w:rPr>
        <w:rFonts w:ascii="Calibri" w:hAnsi="Calibri" w:hint="default"/>
        <w:b w:val="0"/>
        <w:bCs w:val="0"/>
        <w:i w:val="0"/>
        <w:iCs w:val="0"/>
        <w:spacing w:val="0"/>
        <w:w w:val="97"/>
        <w:sz w:val="20"/>
        <w:szCs w:val="20"/>
        <w:lang w:val="en-US" w:eastAsia="en-US" w:bidi="ar-SA"/>
      </w:rPr>
    </w:lvl>
    <w:lvl w:ilvl="2" w:tplc="825C81A2">
      <w:numFmt w:val="bullet"/>
      <w:lvlText w:val="o"/>
      <w:lvlJc w:val="left"/>
      <w:pPr>
        <w:ind w:left="1800" w:hanging="360"/>
      </w:pPr>
      <w:rPr>
        <w:rFonts w:ascii="Courier New" w:hAnsi="Courier New" w:hint="default"/>
        <w:b w:val="0"/>
        <w:bCs w:val="0"/>
        <w:i w:val="0"/>
        <w:iCs w:val="0"/>
        <w:spacing w:val="0"/>
        <w:w w:val="97"/>
        <w:sz w:val="20"/>
        <w:szCs w:val="20"/>
        <w:lang w:val="en-US" w:eastAsia="en-US" w:bidi="ar-SA"/>
      </w:rPr>
    </w:lvl>
    <w:lvl w:ilvl="3" w:tplc="8ECCA9F2">
      <w:numFmt w:val="bullet"/>
      <w:lvlText w:val="•"/>
      <w:lvlJc w:val="left"/>
      <w:pPr>
        <w:ind w:left="2835" w:hanging="360"/>
      </w:pPr>
      <w:rPr>
        <w:lang w:val="en-US" w:eastAsia="en-US" w:bidi="ar-SA"/>
      </w:rPr>
    </w:lvl>
    <w:lvl w:ilvl="4" w:tplc="4A8E912C">
      <w:numFmt w:val="bullet"/>
      <w:lvlText w:val="•"/>
      <w:lvlJc w:val="left"/>
      <w:pPr>
        <w:ind w:left="3870" w:hanging="360"/>
      </w:pPr>
      <w:rPr>
        <w:lang w:val="en-US" w:eastAsia="en-US" w:bidi="ar-SA"/>
      </w:rPr>
    </w:lvl>
    <w:lvl w:ilvl="5" w:tplc="CB90F0D4">
      <w:numFmt w:val="bullet"/>
      <w:lvlText w:val="•"/>
      <w:lvlJc w:val="left"/>
      <w:pPr>
        <w:ind w:left="4905" w:hanging="360"/>
      </w:pPr>
      <w:rPr>
        <w:lang w:val="en-US" w:eastAsia="en-US" w:bidi="ar-SA"/>
      </w:rPr>
    </w:lvl>
    <w:lvl w:ilvl="6" w:tplc="991AF4B6">
      <w:numFmt w:val="bullet"/>
      <w:lvlText w:val="•"/>
      <w:lvlJc w:val="left"/>
      <w:pPr>
        <w:ind w:left="5940" w:hanging="360"/>
      </w:pPr>
      <w:rPr>
        <w:lang w:val="en-US" w:eastAsia="en-US" w:bidi="ar-SA"/>
      </w:rPr>
    </w:lvl>
    <w:lvl w:ilvl="7" w:tplc="B162A8B2">
      <w:numFmt w:val="bullet"/>
      <w:lvlText w:val="•"/>
      <w:lvlJc w:val="left"/>
      <w:pPr>
        <w:ind w:left="6975" w:hanging="360"/>
      </w:pPr>
      <w:rPr>
        <w:lang w:val="en-US" w:eastAsia="en-US" w:bidi="ar-SA"/>
      </w:rPr>
    </w:lvl>
    <w:lvl w:ilvl="8" w:tplc="537E690A">
      <w:numFmt w:val="bullet"/>
      <w:lvlText w:val="•"/>
      <w:lvlJc w:val="left"/>
      <w:pPr>
        <w:ind w:left="8010" w:hanging="360"/>
      </w:pPr>
      <w:rPr>
        <w:lang w:val="en-US" w:eastAsia="en-US" w:bidi="ar-SA"/>
      </w:rPr>
    </w:lvl>
  </w:abstractNum>
  <w:num w:numId="1" w16cid:durableId="639656485">
    <w:abstractNumId w:val="5"/>
  </w:num>
  <w:num w:numId="2" w16cid:durableId="1025597102">
    <w:abstractNumId w:val="1"/>
  </w:num>
  <w:num w:numId="3" w16cid:durableId="1912812560">
    <w:abstractNumId w:val="0"/>
  </w:num>
  <w:num w:numId="4" w16cid:durableId="546185472">
    <w:abstractNumId w:val="3"/>
  </w:num>
  <w:num w:numId="5" w16cid:durableId="531306111">
    <w:abstractNumId w:val="4"/>
  </w:num>
  <w:num w:numId="6" w16cid:durableId="650988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58"/>
    <w:rsid w:val="0004059B"/>
    <w:rsid w:val="00103D19"/>
    <w:rsid w:val="00117F04"/>
    <w:rsid w:val="001875E5"/>
    <w:rsid w:val="001A1CA1"/>
    <w:rsid w:val="001A5458"/>
    <w:rsid w:val="001A60C3"/>
    <w:rsid w:val="00200D0A"/>
    <w:rsid w:val="002B2ED4"/>
    <w:rsid w:val="002B7927"/>
    <w:rsid w:val="002C6ADA"/>
    <w:rsid w:val="002E0186"/>
    <w:rsid w:val="003A6AB2"/>
    <w:rsid w:val="003F4D09"/>
    <w:rsid w:val="00406385"/>
    <w:rsid w:val="004831DE"/>
    <w:rsid w:val="00534379"/>
    <w:rsid w:val="005B162A"/>
    <w:rsid w:val="00625C34"/>
    <w:rsid w:val="00685814"/>
    <w:rsid w:val="00786C4C"/>
    <w:rsid w:val="007C6599"/>
    <w:rsid w:val="00805B88"/>
    <w:rsid w:val="00834DFB"/>
    <w:rsid w:val="00851E10"/>
    <w:rsid w:val="00877F3D"/>
    <w:rsid w:val="008C07D3"/>
    <w:rsid w:val="009001FE"/>
    <w:rsid w:val="00935A86"/>
    <w:rsid w:val="00983D89"/>
    <w:rsid w:val="00996D02"/>
    <w:rsid w:val="009F346C"/>
    <w:rsid w:val="00A62003"/>
    <w:rsid w:val="00A95F23"/>
    <w:rsid w:val="00AC1BDB"/>
    <w:rsid w:val="00AF30CB"/>
    <w:rsid w:val="00B46A88"/>
    <w:rsid w:val="00BC4875"/>
    <w:rsid w:val="00C204B2"/>
    <w:rsid w:val="00CE068F"/>
    <w:rsid w:val="00D0026A"/>
    <w:rsid w:val="00D35A65"/>
    <w:rsid w:val="00D756E7"/>
    <w:rsid w:val="00DD216B"/>
    <w:rsid w:val="00DD70E7"/>
    <w:rsid w:val="00E05D55"/>
    <w:rsid w:val="00E07119"/>
    <w:rsid w:val="00E300B6"/>
    <w:rsid w:val="00E43BA4"/>
    <w:rsid w:val="00E76ABB"/>
    <w:rsid w:val="00F22C77"/>
    <w:rsid w:val="00F31D16"/>
    <w:rsid w:val="00FA0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D276D"/>
  <w15:chartTrackingRefBased/>
  <w15:docId w15:val="{81077932-F9D0-4463-A7BF-CE335420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4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458"/>
    <w:rPr>
      <w:rFonts w:eastAsiaTheme="majorEastAsia" w:cstheme="majorBidi"/>
      <w:color w:val="272727" w:themeColor="text1" w:themeTint="D8"/>
    </w:rPr>
  </w:style>
  <w:style w:type="paragraph" w:styleId="Title">
    <w:name w:val="Title"/>
    <w:basedOn w:val="Normal"/>
    <w:next w:val="Normal"/>
    <w:link w:val="TitleChar"/>
    <w:uiPriority w:val="10"/>
    <w:qFormat/>
    <w:rsid w:val="001A5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458"/>
    <w:pPr>
      <w:spacing w:before="160"/>
      <w:jc w:val="center"/>
    </w:pPr>
    <w:rPr>
      <w:i/>
      <w:iCs/>
      <w:color w:val="404040" w:themeColor="text1" w:themeTint="BF"/>
    </w:rPr>
  </w:style>
  <w:style w:type="character" w:customStyle="1" w:styleId="QuoteChar">
    <w:name w:val="Quote Char"/>
    <w:basedOn w:val="DefaultParagraphFont"/>
    <w:link w:val="Quote"/>
    <w:uiPriority w:val="29"/>
    <w:rsid w:val="001A5458"/>
    <w:rPr>
      <w:i/>
      <w:iCs/>
      <w:color w:val="404040" w:themeColor="text1" w:themeTint="BF"/>
    </w:rPr>
  </w:style>
  <w:style w:type="paragraph" w:styleId="ListParagraph">
    <w:name w:val="List Paragraph"/>
    <w:basedOn w:val="Normal"/>
    <w:uiPriority w:val="1"/>
    <w:qFormat/>
    <w:rsid w:val="001A5458"/>
    <w:pPr>
      <w:ind w:left="720"/>
      <w:contextualSpacing/>
    </w:pPr>
  </w:style>
  <w:style w:type="character" w:styleId="IntenseEmphasis">
    <w:name w:val="Intense Emphasis"/>
    <w:basedOn w:val="DefaultParagraphFont"/>
    <w:uiPriority w:val="21"/>
    <w:qFormat/>
    <w:rsid w:val="001A5458"/>
    <w:rPr>
      <w:i/>
      <w:iCs/>
      <w:color w:val="0F4761" w:themeColor="accent1" w:themeShade="BF"/>
    </w:rPr>
  </w:style>
  <w:style w:type="paragraph" w:styleId="IntenseQuote">
    <w:name w:val="Intense Quote"/>
    <w:basedOn w:val="Normal"/>
    <w:next w:val="Normal"/>
    <w:link w:val="IntenseQuoteChar"/>
    <w:uiPriority w:val="30"/>
    <w:qFormat/>
    <w:rsid w:val="001A5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458"/>
    <w:rPr>
      <w:i/>
      <w:iCs/>
      <w:color w:val="0F4761" w:themeColor="accent1" w:themeShade="BF"/>
    </w:rPr>
  </w:style>
  <w:style w:type="character" w:styleId="IntenseReference">
    <w:name w:val="Intense Reference"/>
    <w:basedOn w:val="DefaultParagraphFont"/>
    <w:uiPriority w:val="32"/>
    <w:qFormat/>
    <w:rsid w:val="001A5458"/>
    <w:rPr>
      <w:b/>
      <w:bCs/>
      <w:smallCaps/>
      <w:color w:val="0F4761" w:themeColor="accent1" w:themeShade="BF"/>
      <w:spacing w:val="5"/>
    </w:rPr>
  </w:style>
  <w:style w:type="paragraph" w:styleId="Header">
    <w:name w:val="header"/>
    <w:basedOn w:val="Normal"/>
    <w:link w:val="HeaderChar"/>
    <w:uiPriority w:val="99"/>
    <w:unhideWhenUsed/>
    <w:rsid w:val="001A5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458"/>
  </w:style>
  <w:style w:type="paragraph" w:styleId="Footer">
    <w:name w:val="footer"/>
    <w:basedOn w:val="Normal"/>
    <w:link w:val="FooterChar"/>
    <w:uiPriority w:val="99"/>
    <w:unhideWhenUsed/>
    <w:rsid w:val="001A5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458"/>
  </w:style>
  <w:style w:type="character" w:styleId="Hyperlink">
    <w:name w:val="Hyperlink"/>
    <w:basedOn w:val="DefaultParagraphFont"/>
    <w:uiPriority w:val="99"/>
    <w:unhideWhenUsed/>
    <w:rsid w:val="001A5458"/>
    <w:rPr>
      <w:color w:val="467886" w:themeColor="hyperlink"/>
      <w:u w:val="single"/>
    </w:rPr>
  </w:style>
  <w:style w:type="character" w:styleId="UnresolvedMention">
    <w:name w:val="Unresolved Mention"/>
    <w:basedOn w:val="DefaultParagraphFont"/>
    <w:uiPriority w:val="99"/>
    <w:semiHidden/>
    <w:unhideWhenUsed/>
    <w:rsid w:val="001A5458"/>
    <w:rPr>
      <w:color w:val="605E5C"/>
      <w:shd w:val="clear" w:color="auto" w:fill="E1DFDD"/>
    </w:rPr>
  </w:style>
  <w:style w:type="paragraph" w:styleId="Revision">
    <w:name w:val="Revision"/>
    <w:hidden/>
    <w:uiPriority w:val="99"/>
    <w:semiHidden/>
    <w:rsid w:val="00F31D16"/>
    <w:pPr>
      <w:spacing w:after="0" w:line="240" w:lineRule="auto"/>
    </w:pPr>
  </w:style>
  <w:style w:type="character" w:styleId="CommentReference">
    <w:name w:val="annotation reference"/>
    <w:basedOn w:val="DefaultParagraphFont"/>
    <w:uiPriority w:val="99"/>
    <w:semiHidden/>
    <w:unhideWhenUsed/>
    <w:rsid w:val="00F31D16"/>
    <w:rPr>
      <w:sz w:val="16"/>
      <w:szCs w:val="16"/>
    </w:rPr>
  </w:style>
  <w:style w:type="paragraph" w:styleId="CommentText">
    <w:name w:val="annotation text"/>
    <w:basedOn w:val="Normal"/>
    <w:link w:val="CommentTextChar"/>
    <w:uiPriority w:val="99"/>
    <w:unhideWhenUsed/>
    <w:rsid w:val="00F31D16"/>
    <w:pPr>
      <w:spacing w:line="240" w:lineRule="auto"/>
    </w:pPr>
    <w:rPr>
      <w:sz w:val="20"/>
      <w:szCs w:val="20"/>
    </w:rPr>
  </w:style>
  <w:style w:type="character" w:customStyle="1" w:styleId="CommentTextChar">
    <w:name w:val="Comment Text Char"/>
    <w:basedOn w:val="DefaultParagraphFont"/>
    <w:link w:val="CommentText"/>
    <w:uiPriority w:val="99"/>
    <w:rsid w:val="00F31D16"/>
    <w:rPr>
      <w:sz w:val="20"/>
      <w:szCs w:val="20"/>
    </w:rPr>
  </w:style>
  <w:style w:type="paragraph" w:styleId="CommentSubject">
    <w:name w:val="annotation subject"/>
    <w:basedOn w:val="CommentText"/>
    <w:next w:val="CommentText"/>
    <w:link w:val="CommentSubjectChar"/>
    <w:uiPriority w:val="99"/>
    <w:semiHidden/>
    <w:unhideWhenUsed/>
    <w:rsid w:val="00F31D16"/>
    <w:rPr>
      <w:b/>
      <w:bCs/>
    </w:rPr>
  </w:style>
  <w:style w:type="character" w:customStyle="1" w:styleId="CommentSubjectChar">
    <w:name w:val="Comment Subject Char"/>
    <w:basedOn w:val="CommentTextChar"/>
    <w:link w:val="CommentSubject"/>
    <w:uiPriority w:val="99"/>
    <w:semiHidden/>
    <w:rsid w:val="00F31D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extramural-programs/php/about/tpgs.html" TargetMode="External"/><Relationship Id="rId13" Type="http://schemas.openxmlformats.org/officeDocument/2006/relationships/hyperlink" Target="https://www.youtube.com/watch?v=Lcs8oeXHsJ0" TargetMode="External"/><Relationship Id="rId3" Type="http://schemas.openxmlformats.org/officeDocument/2006/relationships/settings" Target="settings.xml"/><Relationship Id="rId7" Type="http://schemas.openxmlformats.org/officeDocument/2006/relationships/hyperlink" Target="https://www.cdc.gov/niosh/extramural-programs/php/about/ercs.html" TargetMode="External"/><Relationship Id="rId12" Type="http://schemas.openxmlformats.org/officeDocument/2006/relationships/hyperlink" Target="https://pmc.ncbi.nlm.nih.gov/articles/PMC607580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wr.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c.gov/niosh/research-programs/portfolio/aff.html" TargetMode="External"/><Relationship Id="rId4" Type="http://schemas.openxmlformats.org/officeDocument/2006/relationships/webSettings" Target="webSettings.xml"/><Relationship Id="rId9" Type="http://schemas.openxmlformats.org/officeDocument/2006/relationships/hyperlink" Target="https://www.cdc.gov/niosh/twh/programs/index.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767</Words>
  <Characters>4712</Characters>
  <Application>Microsoft Office Word</Application>
  <DocSecurity>0</DocSecurity>
  <Lines>84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Sloan</dc:creator>
  <cp:keywords/>
  <dc:description/>
  <cp:lastModifiedBy>Larry Sloan</cp:lastModifiedBy>
  <cp:revision>4</cp:revision>
  <dcterms:created xsi:type="dcterms:W3CDTF">2025-07-31T11:04:00Z</dcterms:created>
  <dcterms:modified xsi:type="dcterms:W3CDTF">2025-07-31T12:54:00Z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228ea893-8449-46bd-8686-4b1391cca2b4</vt:lpwstr>
  </property>
</Properties>
</file>